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88" w:afterLines="60" w:line="579" w:lineRule="exact"/>
        <w:jc w:val="center"/>
        <w:textAlignment w:val="auto"/>
        <w:outlineLvl w:val="0"/>
        <w:rPr>
          <w:rFonts w:hint="default" w:ascii="宋体" w:hAnsi="宋体" w:eastAsia="宋体" w:cs="宋体"/>
          <w:b/>
          <w:sz w:val="44"/>
          <w:szCs w:val="44"/>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after="188" w:afterLines="60" w:line="579" w:lineRule="exact"/>
        <w:jc w:val="center"/>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《兴业银行深圳分行关于开展2026年私行客户春节营销活动宣传品采购项目》供应商征集反馈材料-公司名称（全称）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5"/>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对应页码P1-P20</w:t>
      </w:r>
    </w:p>
    <w:p>
      <w:pPr>
        <w:pStyle w:val="5"/>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5"/>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5"/>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1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p>
      <w:pPr>
        <w:keepNext w:val="0"/>
        <w:keepLines w:val="0"/>
        <w:pageBreakBefore w:val="0"/>
        <w:kinsoku/>
        <w:wordWrap/>
        <w:overflowPunct/>
        <w:autoSpaceDE/>
        <w:autoSpaceDN/>
        <w:bidi w:val="0"/>
        <w:adjustRightInd/>
        <w:snapToGrid/>
        <w:spacing w:line="579" w:lineRule="exact"/>
        <w:ind w:left="0" w:leftChars="0" w:firstLine="640" w:firstLineChars="200"/>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（该部分的“审核事项”列由</w:t>
      </w:r>
      <w:r>
        <w:rPr>
          <w:rFonts w:hint="eastAsia" w:ascii="仿宋" w:hAnsi="仿宋" w:eastAsia="仿宋" w:cs="仿宋"/>
          <w:b w:val="0"/>
          <w:bCs w:val="0"/>
          <w:color w:val="000000" w:themeColor="text1"/>
          <w:sz w:val="32"/>
          <w:szCs w:val="32"/>
          <w:lang w:eastAsia="zh-CN"/>
          <w14:textFill>
            <w14:solidFill>
              <w14:schemeClr w14:val="tx1"/>
            </w14:solidFill>
          </w14:textFill>
        </w:rPr>
        <w:t>需求（统筹管理）部门</w:t>
      </w:r>
      <w:r>
        <w:rPr>
          <w:rFonts w:hint="eastAsia" w:ascii="仿宋" w:hAnsi="仿宋" w:eastAsia="仿宋" w:cs="仿宋"/>
          <w:b w:val="0"/>
          <w:bCs w:val="0"/>
          <w:color w:val="000000" w:themeColor="text1"/>
          <w:sz w:val="32"/>
          <w:szCs w:val="32"/>
          <w14:textFill>
            <w14:solidFill>
              <w14:schemeClr w14:val="tx1"/>
            </w14:solidFill>
          </w14:textFill>
        </w:rPr>
        <w:t>填写，“审核事项”中的各点，请和征集公告文档中的第一和第二部分要求一一对应。“是否满足”和“基本情况说明”列由供应商填写。）</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7"/>
        <w:gridCol w:w="2016"/>
        <w:gridCol w:w="4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1.1</w:t>
            </w:r>
            <w:r>
              <w:rPr>
                <w:rFonts w:hint="eastAsia" w:ascii="仿宋" w:hAnsi="仿宋" w:eastAsia="仿宋" w:cs="仿宋"/>
                <w:b w:val="0"/>
                <w:bCs w:val="0"/>
                <w:sz w:val="28"/>
                <w:szCs w:val="28"/>
              </w:rPr>
              <w:t>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1.1.1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kern w:val="0"/>
                <w:sz w:val="32"/>
                <w:szCs w:val="32"/>
                <w:lang w:val="en-US" w:eastAsia="zh-CN" w:bidi="ar"/>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1.1.2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kern w:val="0"/>
                <w:sz w:val="32"/>
                <w:szCs w:val="32"/>
                <w:lang w:val="en-US" w:eastAsia="zh-CN" w:bidi="ar"/>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1.1.3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kern w:val="0"/>
                <w:sz w:val="32"/>
                <w:szCs w:val="32"/>
                <w:lang w:val="en-US" w:eastAsia="zh-CN" w:bidi="ar"/>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9" w:lineRule="exact"/>
              <w:textAlignment w:val="auto"/>
              <w:outlineLvl w:val="1"/>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1.2服务要求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1.2.</w:t>
            </w:r>
            <w:r>
              <w:rPr>
                <w:rFonts w:hint="eastAsia" w:ascii="仿宋" w:hAnsi="仿宋" w:eastAsia="仿宋" w:cs="仿宋"/>
                <w:b w:val="0"/>
                <w:bCs w:val="0"/>
                <w:sz w:val="28"/>
                <w:szCs w:val="28"/>
                <w:lang w:val="en-US" w:eastAsia="zh-CN"/>
              </w:rPr>
              <w:t>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1.2.</w:t>
            </w:r>
            <w:r>
              <w:rPr>
                <w:rFonts w:hint="eastAsia" w:ascii="仿宋" w:hAnsi="仿宋" w:eastAsia="仿宋" w:cs="仿宋"/>
                <w:b w:val="0"/>
                <w:bCs w:val="0"/>
                <w:sz w:val="28"/>
                <w:szCs w:val="28"/>
                <w:lang w:val="en-US" w:eastAsia="zh-CN"/>
              </w:rPr>
              <w:t>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1.2.</w:t>
            </w:r>
            <w:r>
              <w:rPr>
                <w:rFonts w:hint="eastAsia" w:ascii="仿宋" w:hAnsi="仿宋" w:eastAsia="仿宋" w:cs="仿宋"/>
                <w:b w:val="0"/>
                <w:bCs w:val="0"/>
                <w:sz w:val="28"/>
                <w:szCs w:val="28"/>
                <w:lang w:val="en-US" w:eastAsia="zh-CN"/>
              </w:rPr>
              <w:t>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1.2.</w:t>
            </w:r>
            <w:r>
              <w:rPr>
                <w:rFonts w:hint="eastAsia" w:ascii="仿宋" w:hAnsi="仿宋" w:eastAsia="仿宋" w:cs="仿宋"/>
                <w:b w:val="0"/>
                <w:bCs w:val="0"/>
                <w:sz w:val="28"/>
                <w:szCs w:val="28"/>
                <w:lang w:val="en-US" w:eastAsia="zh-CN"/>
              </w:rPr>
              <w:t>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w:t>
            </w:r>
            <w:r>
              <w:rPr>
                <w:rFonts w:hint="eastAsia" w:ascii="仿宋" w:hAnsi="仿宋" w:eastAsia="仿宋" w:cs="仿宋"/>
                <w:b w:val="0"/>
                <w:bCs w:val="0"/>
                <w:sz w:val="28"/>
                <w:szCs w:val="28"/>
                <w:lang w:val="en-US" w:eastAsia="zh-CN"/>
              </w:rPr>
              <w:t>8</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w:t>
            </w:r>
            <w:r>
              <w:rPr>
                <w:rFonts w:hint="eastAsia" w:ascii="仿宋" w:hAnsi="仿宋" w:eastAsia="仿宋" w:cs="仿宋"/>
                <w:b w:val="0"/>
                <w:bCs w:val="0"/>
                <w:sz w:val="28"/>
                <w:szCs w:val="28"/>
                <w:lang w:val="en-US" w:eastAsia="zh-CN"/>
              </w:rPr>
              <w:t>9</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2.8</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9"/>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12"/>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4"/>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4"/>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4"/>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pageBreakBefore w:val="0"/>
        <w:widowControl w:val="0"/>
        <w:kinsoku/>
        <w:wordWrap/>
        <w:overflowPunct/>
        <w:topLinePunct w:val="0"/>
        <w:autoSpaceDE/>
        <w:autoSpaceDN/>
        <w:bidi w:val="0"/>
        <w:adjustRightInd/>
        <w:snapToGrid/>
        <w:spacing w:after="188" w:afterLines="60" w:line="579" w:lineRule="exact"/>
        <w:jc w:val="both"/>
        <w:textAlignment w:val="auto"/>
        <w:outlineLvl w:val="0"/>
        <w:rPr>
          <w:rFonts w:hint="eastAsia" w:ascii="仿宋" w:hAnsi="仿宋" w:eastAsia="仿宋" w:cs="仿宋"/>
          <w:b w:val="0"/>
          <w:bCs w:val="0"/>
          <w:sz w:val="32"/>
          <w:szCs w:val="32"/>
        </w:rPr>
      </w:pPr>
      <w:r>
        <w:rPr>
          <w:rFonts w:hint="eastAsia" w:ascii="仿宋" w:hAnsi="仿宋" w:eastAsia="仿宋" w:cs="仿宋"/>
          <w:b w:val="0"/>
          <w:bCs w:val="0"/>
          <w:sz w:val="32"/>
          <w:szCs w:val="32"/>
        </w:rPr>
        <w:t>《</w:t>
      </w:r>
      <w:r>
        <w:rPr>
          <w:rFonts w:hint="eastAsia" w:ascii="仿宋" w:hAnsi="仿宋" w:eastAsia="仿宋" w:cs="仿宋"/>
          <w:kern w:val="0"/>
          <w:sz w:val="32"/>
          <w:szCs w:val="32"/>
          <w:lang w:val="en-US" w:eastAsia="zh-CN" w:bidi="ar"/>
        </w:rPr>
        <w:t>具有</w:t>
      </w:r>
      <w:r>
        <w:rPr>
          <w:rFonts w:hint="eastAsia" w:ascii="仿宋" w:hAnsi="仿宋" w:eastAsia="仿宋" w:cs="仿宋"/>
          <w:color w:val="FF0000"/>
          <w:kern w:val="0"/>
          <w:sz w:val="32"/>
          <w:szCs w:val="32"/>
          <w:lang w:val="en-US" w:eastAsia="zh-CN" w:bidi="ar"/>
        </w:rPr>
        <w:t>2022年11月1日</w:t>
      </w:r>
      <w:r>
        <w:rPr>
          <w:rFonts w:hint="eastAsia" w:ascii="仿宋" w:hAnsi="仿宋" w:eastAsia="仿宋" w:cs="仿宋"/>
          <w:kern w:val="0"/>
          <w:sz w:val="32"/>
          <w:szCs w:val="32"/>
          <w:lang w:val="en-US" w:eastAsia="zh-CN" w:bidi="ar"/>
        </w:rPr>
        <w:t>至今</w:t>
      </w:r>
      <w:r>
        <w:rPr>
          <w:rFonts w:hint="eastAsia" w:ascii="仿宋" w:hAnsi="仿宋" w:eastAsia="仿宋" w:cs="仿宋"/>
          <w:sz w:val="32"/>
          <w:szCs w:val="32"/>
          <w:highlight w:val="none"/>
        </w:rPr>
        <w:t>与20家国内系统重要性银行</w:t>
      </w:r>
      <w:r>
        <w:rPr>
          <w:rStyle w:val="11"/>
          <w:rFonts w:hint="eastAsia" w:ascii="仿宋" w:hAnsi="仿宋" w:eastAsia="仿宋" w:cs="仿宋"/>
          <w:kern w:val="0"/>
          <w:sz w:val="32"/>
          <w:szCs w:val="32"/>
          <w:highlight w:val="none"/>
          <w:lang w:val="en-US" w:eastAsia="zh-CN" w:bidi="ar"/>
        </w:rPr>
        <w:footnoteReference w:id="0"/>
      </w:r>
      <w:r>
        <w:rPr>
          <w:rFonts w:hint="eastAsia" w:ascii="仿宋" w:hAnsi="仿宋" w:eastAsia="仿宋" w:cs="仿宋"/>
          <w:i w:val="0"/>
          <w:iCs w:val="0"/>
          <w:sz w:val="32"/>
          <w:szCs w:val="32"/>
          <w:highlight w:val="none"/>
          <w:lang w:val="en-US" w:eastAsia="zh-CN"/>
        </w:rPr>
        <w:t>分行级/或其子公司</w:t>
      </w:r>
      <w:r>
        <w:rPr>
          <w:rFonts w:hint="eastAsia" w:ascii="仿宋" w:hAnsi="仿宋" w:eastAsia="仿宋" w:cs="仿宋"/>
          <w:sz w:val="32"/>
          <w:szCs w:val="32"/>
          <w:highlight w:val="none"/>
          <w:lang w:val="en-US" w:eastAsia="zh-CN"/>
        </w:rPr>
        <w:t>合作开展</w:t>
      </w:r>
      <w:r>
        <w:rPr>
          <w:rFonts w:hint="eastAsia" w:ascii="仿宋" w:hAnsi="仿宋" w:eastAsia="仿宋" w:cs="仿宋"/>
          <w:sz w:val="32"/>
          <w:szCs w:val="32"/>
          <w:highlight w:val="none"/>
        </w:rPr>
        <w:t>与</w:t>
      </w:r>
      <w:r>
        <w:rPr>
          <w:rFonts w:hint="eastAsia" w:ascii="仿宋" w:hAnsi="仿宋" w:eastAsia="仿宋" w:cs="仿宋"/>
          <w:sz w:val="32"/>
          <w:szCs w:val="32"/>
          <w:highlight w:val="none"/>
          <w:lang w:val="en-US" w:eastAsia="zh-CN"/>
        </w:rPr>
        <w:t>本</w:t>
      </w:r>
      <w:r>
        <w:rPr>
          <w:rFonts w:hint="eastAsia" w:ascii="仿宋" w:hAnsi="仿宋" w:eastAsia="仿宋" w:cs="仿宋"/>
          <w:sz w:val="32"/>
          <w:szCs w:val="32"/>
          <w:highlight w:val="none"/>
        </w:rPr>
        <w:t>项目</w:t>
      </w:r>
      <w:r>
        <w:rPr>
          <w:rFonts w:hint="eastAsia" w:ascii="仿宋" w:hAnsi="仿宋" w:eastAsia="仿宋" w:cs="仿宋"/>
          <w:sz w:val="32"/>
          <w:szCs w:val="32"/>
          <w:highlight w:val="none"/>
          <w:lang w:val="en-US" w:eastAsia="zh-CN"/>
        </w:rPr>
        <w:t>私行客户</w:t>
      </w:r>
      <w:bookmarkStart w:id="1" w:name="_GoBack"/>
      <w:bookmarkEnd w:id="1"/>
      <w:r>
        <w:rPr>
          <w:rFonts w:hint="eastAsia" w:ascii="仿宋" w:hAnsi="仿宋" w:eastAsia="仿宋" w:cs="仿宋"/>
          <w:sz w:val="32"/>
          <w:szCs w:val="32"/>
          <w:highlight w:val="none"/>
          <w:lang w:val="en-US" w:eastAsia="zh-CN"/>
        </w:rPr>
        <w:t>营销活动宣传品</w:t>
      </w:r>
      <w:r>
        <w:rPr>
          <w:rFonts w:hint="eastAsia" w:ascii="仿宋" w:hAnsi="仿宋" w:eastAsia="仿宋" w:cs="仿宋"/>
          <w:b w:val="0"/>
          <w:bCs w:val="0"/>
          <w:sz w:val="32"/>
          <w:szCs w:val="32"/>
        </w:rPr>
        <w:t>》相关案例情况：</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8"/>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u w:val="none"/>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6"/>
        <w:keepNext w:val="0"/>
        <w:keepLines w:val="0"/>
        <w:pageBreakBefore w:val="0"/>
        <w:widowControl w:val="0"/>
        <w:kinsoku/>
        <w:wordWrap/>
        <w:overflowPunct/>
        <w:topLinePunct/>
        <w:autoSpaceDE/>
        <w:autoSpaceDN/>
        <w:bidi w:val="0"/>
        <w:adjustRightInd/>
        <w:snapToGrid w:val="0"/>
        <w:spacing w:line="440" w:lineRule="exact"/>
        <w:textAlignment w:val="auto"/>
        <w:rPr>
          <w:rStyle w:val="11"/>
          <w:rFonts w:hint="eastAsia" w:ascii="宋体" w:hAnsi="宋体" w:eastAsia="宋体" w:cs="宋体"/>
          <w:sz w:val="21"/>
          <w:szCs w:val="21"/>
          <w:vertAlign w:val="baseline"/>
          <w:lang w:eastAsia="zh-CN"/>
        </w:rPr>
      </w:pPr>
      <w:r>
        <w:rPr>
          <w:rStyle w:val="11"/>
          <w:rFonts w:hint="eastAsia" w:ascii="宋体" w:hAnsi="宋体" w:eastAsia="宋体" w:cs="宋体"/>
          <w:sz w:val="28"/>
          <w:szCs w:val="28"/>
        </w:rPr>
        <w:footnoteRef/>
      </w:r>
      <w:r>
        <w:rPr>
          <w:rStyle w:val="11"/>
          <w:rFonts w:hint="eastAsia" w:ascii="宋体" w:hAnsi="宋体" w:eastAsia="宋体" w:cs="宋体"/>
          <w:sz w:val="21"/>
          <w:szCs w:val="21"/>
          <w:vertAlign w:val="baseline"/>
        </w:rPr>
        <w:t>工行、中行、建行、农行、交行、邮储</w:t>
      </w:r>
      <w:r>
        <w:rPr>
          <w:rFonts w:hint="eastAsia" w:ascii="宋体" w:hAnsi="宋体" w:eastAsia="宋体" w:cs="宋体"/>
          <w:sz w:val="21"/>
          <w:szCs w:val="21"/>
          <w:vertAlign w:val="baseline"/>
          <w:lang w:eastAsia="zh-CN"/>
        </w:rPr>
        <w:t>、</w:t>
      </w:r>
      <w:r>
        <w:rPr>
          <w:rStyle w:val="11"/>
          <w:rFonts w:hint="eastAsia" w:ascii="宋体" w:hAnsi="宋体" w:eastAsia="宋体" w:cs="宋体"/>
          <w:sz w:val="21"/>
          <w:szCs w:val="21"/>
          <w:vertAlign w:val="baseline"/>
        </w:rPr>
        <w:t>招商、兴业、中信、浦发、光大、民生、平安、华夏、广发、宁波、江苏、上海、北京、南京</w:t>
      </w:r>
      <w:r>
        <w:rPr>
          <w:rFonts w:hint="eastAsia" w:ascii="宋体" w:hAnsi="宋体" w:eastAsia="宋体" w:cs="宋体"/>
          <w:sz w:val="21"/>
          <w:szCs w:val="21"/>
          <w:vertAlign w:val="baseline"/>
          <w:lang w:eastAsia="zh-C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C894020"/>
    <w:rsid w:val="0DED7F9F"/>
    <w:rsid w:val="0FDC732D"/>
    <w:rsid w:val="13DD0D7A"/>
    <w:rsid w:val="213C1A54"/>
    <w:rsid w:val="23F06269"/>
    <w:rsid w:val="365B1D40"/>
    <w:rsid w:val="3DA253E2"/>
    <w:rsid w:val="406D1DE7"/>
    <w:rsid w:val="411A3BD9"/>
    <w:rsid w:val="4387636B"/>
    <w:rsid w:val="503B1E49"/>
    <w:rsid w:val="5966279D"/>
    <w:rsid w:val="72925270"/>
    <w:rsid w:val="79330017"/>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Indent"/>
    <w:basedOn w:val="1"/>
    <w:next w:val="4"/>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4">
    <w:name w:val="Body Text First Indent 2"/>
    <w:basedOn w:val="3"/>
    <w:next w:val="5"/>
    <w:qFormat/>
    <w:uiPriority w:val="0"/>
    <w:pPr>
      <w:tabs>
        <w:tab w:val="left" w:pos="0"/>
        <w:tab w:val="left" w:pos="993"/>
        <w:tab w:val="left" w:pos="1134"/>
      </w:tabs>
      <w:spacing w:line="312" w:lineRule="atLeast"/>
      <w:ind w:firstLine="420"/>
    </w:pPr>
  </w:style>
  <w:style w:type="paragraph" w:customStyle="1" w:styleId="5">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6">
    <w:name w:val="footnote text"/>
    <w:basedOn w:val="1"/>
    <w:qFormat/>
    <w:uiPriority w:val="0"/>
    <w:pPr>
      <w:snapToGrid w:val="0"/>
      <w:jc w:val="left"/>
    </w:pPr>
    <w:rPr>
      <w:sz w:val="18"/>
    </w:rPr>
  </w:style>
  <w:style w:type="paragraph" w:styleId="7">
    <w:name w:val="HTML Preformatted"/>
    <w:basedOn w:val="1"/>
    <w:semiHidden/>
    <w:qFormat/>
    <w:uiPriority w:val="0"/>
    <w:pPr>
      <w:topLinePunct w:val="0"/>
    </w:pPr>
    <w:rPr>
      <w:rFonts w:ascii="Courier New" w:hAnsi="Courier New" w:cs="Courier New"/>
      <w:sz w:val="20"/>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footnote reference"/>
    <w:basedOn w:val="10"/>
    <w:qFormat/>
    <w:uiPriority w:val="0"/>
    <w:rPr>
      <w:rFonts w:ascii="仿宋_GB2312" w:hAnsi="仿宋"/>
      <w:bCs/>
      <w:color w:val="000000"/>
      <w:szCs w:val="28"/>
      <w:vertAlign w:val="superscript"/>
    </w:rPr>
  </w:style>
  <w:style w:type="paragraph" w:customStyle="1" w:styleId="12">
    <w:name w:val="正文首行缩进 21"/>
    <w:basedOn w:val="13"/>
    <w:qFormat/>
    <w:uiPriority w:val="0"/>
    <w:pPr>
      <w:widowControl/>
      <w:ind w:firstLine="420"/>
    </w:pPr>
    <w:rPr>
      <w:szCs w:val="20"/>
    </w:rPr>
  </w:style>
  <w:style w:type="paragraph" w:customStyle="1" w:styleId="13">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6</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张珊珊-135433</cp:lastModifiedBy>
  <dcterms:modified xsi:type="dcterms:W3CDTF">2025-12-11T07:37:33Z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